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管控危化品及气瓶管理平台使用说明</w:t>
      </w:r>
    </w:p>
    <w:p>
      <w:pPr>
        <w:jc w:val="center"/>
        <w:rPr>
          <w:rFonts w:ascii="黑体" w:hAnsi="黑体" w:eastAsia="黑体"/>
          <w:sz w:val="36"/>
          <w:szCs w:val="36"/>
        </w:rPr>
      </w:pPr>
      <w:bookmarkStart w:id="1" w:name="_GoBack"/>
      <w:bookmarkEnd w:id="1"/>
    </w:p>
    <w:p>
      <w:pPr>
        <w:spacing w:line="360" w:lineRule="auto"/>
        <w:jc w:val="left"/>
        <w:rPr>
          <w:rFonts w:hint="eastAsia" w:ascii="仿宋_GB2312" w:hAnsi="黑体" w:eastAsia="仿宋_GB2312"/>
          <w:b/>
          <w:bCs/>
          <w:sz w:val="28"/>
          <w:szCs w:val="28"/>
          <w:lang w:val="en-US" w:eastAsia="zh-CN"/>
        </w:rPr>
      </w:pPr>
      <w:r>
        <w:rPr>
          <w:rFonts w:hint="eastAsia" w:ascii="仿宋_GB2312" w:hAnsi="黑体" w:eastAsia="仿宋_GB2312"/>
          <w:b/>
          <w:bCs/>
          <w:sz w:val="28"/>
          <w:szCs w:val="28"/>
          <w:lang w:val="en-US" w:eastAsia="zh-CN"/>
        </w:rPr>
        <w:t>一、获取登录权限</w:t>
      </w:r>
    </w:p>
    <w:p>
      <w:pPr>
        <w:spacing w:line="360" w:lineRule="auto"/>
        <w:ind w:firstLine="560" w:firstLineChars="200"/>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有管控危化品及气瓶购买需求的老师首次登陆平台前需与学院专管员联系，提交相应信息并经平台技术人员录入后获取登录权限。获取登录权限后，可从平台登录入口直接登录使用。</w:t>
      </w:r>
    </w:p>
    <w:p>
      <w:pPr>
        <w:spacing w:line="360" w:lineRule="auto"/>
        <w:jc w:val="left"/>
        <w:rPr>
          <w:rFonts w:ascii="仿宋_GB2312" w:hAnsi="黑体" w:eastAsia="仿宋_GB2312"/>
          <w:b/>
          <w:bCs/>
          <w:sz w:val="28"/>
          <w:szCs w:val="28"/>
        </w:rPr>
      </w:pPr>
      <w:r>
        <w:rPr>
          <w:rFonts w:hint="eastAsia" w:ascii="仿宋_GB2312" w:hAnsi="黑体" w:eastAsia="仿宋_GB2312"/>
          <w:b/>
          <w:bCs/>
          <w:sz w:val="28"/>
          <w:szCs w:val="28"/>
          <w:lang w:val="en-US" w:eastAsia="zh-CN"/>
        </w:rPr>
        <w:t>二</w:t>
      </w:r>
      <w:r>
        <w:rPr>
          <w:rFonts w:hint="eastAsia" w:ascii="仿宋_GB2312" w:hAnsi="黑体" w:eastAsia="仿宋_GB2312"/>
          <w:b/>
          <w:bCs/>
          <w:sz w:val="28"/>
          <w:szCs w:val="28"/>
        </w:rPr>
        <w:t>、平台登录</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管控危化品及气瓶管理平台的登录有三种方式</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1、网页登录</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（1）登录网址:</w:t>
      </w:r>
      <w:r>
        <w:rPr>
          <w:rStyle w:val="4"/>
          <w:rFonts w:hint="eastAsia" w:hAnsi="黑体"/>
        </w:rPr>
        <w:t xml:space="preserve"> </w:t>
      </w:r>
      <w:r>
        <w:fldChar w:fldCharType="begin"/>
      </w:r>
      <w:r>
        <w:instrText xml:space="preserve"> HYPERLINK "https://upc.sdscmall.com/" </w:instrText>
      </w:r>
      <w:r>
        <w:fldChar w:fldCharType="separate"/>
      </w:r>
      <w:r>
        <w:rPr>
          <w:rStyle w:val="4"/>
          <w:rFonts w:ascii="仿宋_GB2312" w:hAnsi="黑体" w:eastAsia="仿宋_GB2312"/>
          <w:sz w:val="28"/>
          <w:szCs w:val="28"/>
        </w:rPr>
        <w:t>https://upc.sdscmall.com/</w:t>
      </w:r>
      <w:r>
        <w:rPr>
          <w:rStyle w:val="4"/>
          <w:rFonts w:ascii="仿宋_GB2312" w:hAnsi="黑体" w:eastAsia="仿宋_GB2312"/>
          <w:sz w:val="28"/>
          <w:szCs w:val="28"/>
        </w:rPr>
        <w:fldChar w:fldCharType="end"/>
      </w:r>
      <w:r>
        <w:rPr>
          <w:rStyle w:val="4"/>
          <w:rFonts w:ascii="仿宋_GB2312" w:hAnsi="黑体" w:eastAsia="仿宋_GB2312"/>
          <w:sz w:val="28"/>
          <w:szCs w:val="28"/>
          <w:u w:val="none"/>
        </w:rPr>
        <w:t xml:space="preserve"> </w:t>
      </w:r>
      <w:r>
        <w:rPr>
          <w:rFonts w:hint="eastAsia"/>
        </w:rPr>
        <w:t>（</w:t>
      </w:r>
      <w:r>
        <w:rPr>
          <w:rFonts w:ascii="仿宋_GB2312" w:hAnsi="黑体" w:eastAsia="仿宋_GB2312"/>
          <w:sz w:val="28"/>
          <w:szCs w:val="28"/>
        </w:rPr>
        <w:t>浏览器</w:t>
      </w:r>
      <w:r>
        <w:rPr>
          <w:rFonts w:hint="eastAsia" w:ascii="仿宋_GB2312" w:hAnsi="黑体" w:eastAsia="仿宋_GB2312"/>
          <w:sz w:val="28"/>
          <w:szCs w:val="28"/>
        </w:rPr>
        <w:t>可收藏网址）。</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（2）登录账号密码：初始账号与</w:t>
      </w:r>
      <w:r>
        <w:rPr>
          <w:rFonts w:ascii="仿宋_GB2312" w:hAnsi="黑体" w:eastAsia="仿宋_GB2312"/>
          <w:sz w:val="28"/>
          <w:szCs w:val="28"/>
        </w:rPr>
        <w:t>初始</w:t>
      </w:r>
      <w:r>
        <w:rPr>
          <w:rFonts w:hint="eastAsia" w:ascii="仿宋_GB2312" w:hAnsi="黑体" w:eastAsia="仿宋_GB2312"/>
          <w:sz w:val="28"/>
          <w:szCs w:val="28"/>
        </w:rPr>
        <w:t>密码相同，均为收集信息时提供的邮箱。</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2、国有</w:t>
      </w:r>
      <w:r>
        <w:rPr>
          <w:rFonts w:ascii="仿宋_GB2312" w:hAnsi="黑体" w:eastAsia="仿宋_GB2312"/>
          <w:sz w:val="28"/>
          <w:szCs w:val="28"/>
        </w:rPr>
        <w:t>资产与实验室管理处</w:t>
      </w:r>
      <w:r>
        <w:rPr>
          <w:rFonts w:hint="eastAsia" w:ascii="仿宋_GB2312" w:hAnsi="黑体" w:eastAsia="仿宋_GB2312"/>
          <w:sz w:val="28"/>
          <w:szCs w:val="28"/>
        </w:rPr>
        <w:t>网页</w:t>
      </w:r>
      <w:r>
        <w:rPr>
          <w:rFonts w:ascii="仿宋_GB2312" w:hAnsi="黑体" w:eastAsia="仿宋_GB2312"/>
          <w:sz w:val="28"/>
          <w:szCs w:val="28"/>
        </w:rPr>
        <w:t>内登陆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（1）登陆</w:t>
      </w:r>
      <w:r>
        <w:rPr>
          <w:rFonts w:ascii="仿宋_GB2312" w:hAnsi="黑体" w:eastAsia="仿宋_GB2312"/>
          <w:sz w:val="28"/>
          <w:szCs w:val="28"/>
        </w:rPr>
        <w:t>方式：</w:t>
      </w:r>
      <w:r>
        <w:rPr>
          <w:rFonts w:hint="eastAsia" w:ascii="仿宋_GB2312" w:hAnsi="黑体" w:eastAsia="仿宋_GB2312"/>
          <w:sz w:val="28"/>
          <w:szCs w:val="28"/>
        </w:rPr>
        <w:t>通过</w:t>
      </w:r>
      <w:r>
        <w:rPr>
          <w:rFonts w:ascii="仿宋_GB2312" w:hAnsi="黑体" w:eastAsia="仿宋_GB2312"/>
          <w:sz w:val="28"/>
          <w:szCs w:val="28"/>
        </w:rPr>
        <w:t>学校</w:t>
      </w:r>
      <w:r>
        <w:rPr>
          <w:rFonts w:hint="eastAsia" w:ascii="仿宋_GB2312" w:hAnsi="黑体" w:eastAsia="仿宋_GB2312"/>
          <w:sz w:val="28"/>
          <w:szCs w:val="28"/>
        </w:rPr>
        <w:t>官网的</w:t>
      </w:r>
      <w:r>
        <w:rPr>
          <w:rFonts w:ascii="仿宋_GB2312" w:hAnsi="黑体" w:eastAsia="仿宋_GB2312"/>
          <w:sz w:val="28"/>
          <w:szCs w:val="28"/>
        </w:rPr>
        <w:t>党政部门</w:t>
      </w:r>
      <w:r>
        <w:rPr>
          <w:rFonts w:hint="eastAsia" w:ascii="仿宋_GB2312" w:hAnsi="黑体" w:eastAsia="仿宋_GB2312"/>
          <w:sz w:val="28"/>
          <w:szCs w:val="28"/>
        </w:rPr>
        <w:t>或者</w:t>
      </w:r>
      <w:r>
        <w:rPr>
          <w:rFonts w:ascii="仿宋_GB2312" w:hAnsi="黑体" w:eastAsia="仿宋_GB2312"/>
          <w:sz w:val="28"/>
          <w:szCs w:val="28"/>
        </w:rPr>
        <w:t>直接在浏览器中输入</w:t>
      </w:r>
      <w:r>
        <w:fldChar w:fldCharType="begin"/>
      </w:r>
      <w:r>
        <w:instrText xml:space="preserve"> HYPERLINK "http://sbc.upc.edu.cn/" </w:instrText>
      </w:r>
      <w:r>
        <w:fldChar w:fldCharType="separate"/>
      </w:r>
      <w:r>
        <w:rPr>
          <w:rStyle w:val="4"/>
          <w:rFonts w:ascii="仿宋_GB2312" w:hAnsi="黑体" w:eastAsia="仿宋_GB2312"/>
          <w:sz w:val="28"/>
          <w:szCs w:val="28"/>
        </w:rPr>
        <w:t>http://sbc.upc.edu.cn/</w:t>
      </w:r>
      <w:r>
        <w:rPr>
          <w:rStyle w:val="4"/>
          <w:rFonts w:ascii="仿宋_GB2312" w:hAnsi="黑体" w:eastAsia="仿宋_GB2312"/>
          <w:sz w:val="28"/>
          <w:szCs w:val="28"/>
        </w:rPr>
        <w:fldChar w:fldCharType="end"/>
      </w:r>
      <w:r>
        <w:rPr>
          <w:rFonts w:hint="eastAsia" w:ascii="仿宋_GB2312" w:hAnsi="黑体" w:eastAsia="仿宋_GB2312"/>
          <w:sz w:val="28"/>
          <w:szCs w:val="28"/>
        </w:rPr>
        <w:t>，</w:t>
      </w:r>
      <w:r>
        <w:rPr>
          <w:rFonts w:ascii="仿宋_GB2312" w:hAnsi="黑体" w:eastAsia="仿宋_GB2312"/>
          <w:sz w:val="28"/>
          <w:szCs w:val="28"/>
        </w:rPr>
        <w:t>进入国有资产与实验室</w:t>
      </w:r>
      <w:r>
        <w:rPr>
          <w:rFonts w:hint="eastAsia" w:ascii="仿宋_GB2312" w:hAnsi="黑体" w:eastAsia="仿宋_GB2312"/>
          <w:sz w:val="28"/>
          <w:szCs w:val="28"/>
        </w:rPr>
        <w:t>管理</w:t>
      </w:r>
      <w:r>
        <w:rPr>
          <w:rFonts w:ascii="仿宋_GB2312" w:hAnsi="黑体" w:eastAsia="仿宋_GB2312"/>
          <w:sz w:val="28"/>
          <w:szCs w:val="28"/>
        </w:rPr>
        <w:t>处的</w:t>
      </w:r>
      <w:r>
        <w:rPr>
          <w:rFonts w:hint="eastAsia" w:ascii="仿宋_GB2312" w:hAnsi="黑体" w:eastAsia="仿宋_GB2312"/>
          <w:sz w:val="28"/>
          <w:szCs w:val="28"/>
        </w:rPr>
        <w:t>网页</w:t>
      </w:r>
      <w:r>
        <w:rPr>
          <w:rFonts w:ascii="仿宋_GB2312" w:hAnsi="黑体" w:eastAsia="仿宋_GB2312"/>
          <w:sz w:val="28"/>
          <w:szCs w:val="28"/>
        </w:rPr>
        <w:t>，</w:t>
      </w:r>
      <w:r>
        <w:rPr>
          <w:rFonts w:hint="eastAsia" w:ascii="仿宋_GB2312" w:hAnsi="黑体" w:eastAsia="仿宋_GB2312"/>
          <w:sz w:val="28"/>
          <w:szCs w:val="28"/>
        </w:rPr>
        <w:t>在左下方“办公</w:t>
      </w:r>
      <w:r>
        <w:rPr>
          <w:rFonts w:ascii="仿宋_GB2312" w:hAnsi="黑体" w:eastAsia="仿宋_GB2312"/>
          <w:sz w:val="28"/>
          <w:szCs w:val="28"/>
        </w:rPr>
        <w:t>自动化</w:t>
      </w:r>
      <w:r>
        <w:rPr>
          <w:rFonts w:hint="eastAsia" w:ascii="仿宋_GB2312" w:hAnsi="黑体" w:eastAsia="仿宋_GB2312"/>
          <w:sz w:val="28"/>
          <w:szCs w:val="28"/>
        </w:rPr>
        <w:t>”区域</w:t>
      </w:r>
      <w:r>
        <w:rPr>
          <w:rFonts w:ascii="仿宋_GB2312" w:hAnsi="黑体" w:eastAsia="仿宋_GB2312"/>
          <w:sz w:val="28"/>
          <w:szCs w:val="28"/>
        </w:rPr>
        <w:t>中点击</w:t>
      </w:r>
      <w:r>
        <w:rPr>
          <w:rFonts w:hint="eastAsia" w:ascii="仿宋_GB2312" w:hAnsi="黑体" w:eastAsia="仿宋_GB2312"/>
          <w:sz w:val="28"/>
          <w:szCs w:val="28"/>
        </w:rPr>
        <w:t>“管控危化品</w:t>
      </w:r>
      <w:r>
        <w:rPr>
          <w:rFonts w:ascii="仿宋_GB2312" w:hAnsi="黑体" w:eastAsia="仿宋_GB2312"/>
          <w:sz w:val="28"/>
          <w:szCs w:val="28"/>
        </w:rPr>
        <w:t>及气瓶</w:t>
      </w:r>
      <w:r>
        <w:rPr>
          <w:rFonts w:hint="eastAsia" w:ascii="仿宋_GB2312" w:hAnsi="黑体" w:eastAsia="仿宋_GB2312"/>
          <w:sz w:val="28"/>
          <w:szCs w:val="28"/>
        </w:rPr>
        <w:t>管理</w:t>
      </w:r>
      <w:r>
        <w:rPr>
          <w:rFonts w:ascii="仿宋_GB2312" w:hAnsi="黑体" w:eastAsia="仿宋_GB2312"/>
          <w:sz w:val="28"/>
          <w:szCs w:val="28"/>
        </w:rPr>
        <w:t>平台</w:t>
      </w:r>
      <w:r>
        <w:rPr>
          <w:rFonts w:hint="eastAsia" w:ascii="仿宋_GB2312" w:hAnsi="黑体" w:eastAsia="仿宋_GB2312"/>
          <w:sz w:val="28"/>
          <w:szCs w:val="28"/>
        </w:rPr>
        <w:t>”，</w:t>
      </w:r>
      <w:r>
        <w:rPr>
          <w:rFonts w:ascii="仿宋_GB2312" w:hAnsi="黑体" w:eastAsia="仿宋_GB2312"/>
          <w:sz w:val="28"/>
          <w:szCs w:val="28"/>
        </w:rPr>
        <w:t>进入平台。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（2）登陆</w:t>
      </w:r>
      <w:r>
        <w:rPr>
          <w:rFonts w:ascii="仿宋_GB2312" w:hAnsi="黑体" w:eastAsia="仿宋_GB2312"/>
          <w:sz w:val="28"/>
          <w:szCs w:val="28"/>
        </w:rPr>
        <w:t>账号密码：</w:t>
      </w:r>
      <w:r>
        <w:rPr>
          <w:rFonts w:hint="eastAsia" w:ascii="仿宋_GB2312" w:hAnsi="黑体" w:eastAsia="仿宋_GB2312"/>
          <w:sz w:val="28"/>
          <w:szCs w:val="28"/>
        </w:rPr>
        <w:t>初始账号与</w:t>
      </w:r>
      <w:r>
        <w:rPr>
          <w:rFonts w:ascii="仿宋_GB2312" w:hAnsi="黑体" w:eastAsia="仿宋_GB2312"/>
          <w:sz w:val="28"/>
          <w:szCs w:val="28"/>
        </w:rPr>
        <w:t>初始</w:t>
      </w:r>
      <w:r>
        <w:rPr>
          <w:rFonts w:hint="eastAsia" w:ascii="仿宋_GB2312" w:hAnsi="黑体" w:eastAsia="仿宋_GB2312"/>
          <w:sz w:val="28"/>
          <w:szCs w:val="28"/>
        </w:rPr>
        <w:t>密码相同，均为收集信息时提供的邮箱。</w:t>
      </w:r>
    </w:p>
    <w:p>
      <w:pPr>
        <w:spacing w:line="360" w:lineRule="auto"/>
        <w:ind w:firstLine="560" w:firstLineChars="200"/>
        <w:jc w:val="left"/>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、校内统一身份认证登录（正在对接单点登录和校内服务器布置，对接好以后可以直接通过统一身份认证登录，</w:t>
      </w:r>
      <w:r>
        <w:rPr>
          <w:rFonts w:ascii="仿宋_GB2312" w:hAnsi="黑体" w:eastAsia="仿宋_GB2312"/>
          <w:sz w:val="28"/>
          <w:szCs w:val="28"/>
        </w:rPr>
        <w:t>对接好以后</w:t>
      </w:r>
      <w:r>
        <w:rPr>
          <w:rFonts w:hint="eastAsia" w:ascii="仿宋_GB2312" w:hAnsi="黑体" w:eastAsia="仿宋_GB2312"/>
          <w:sz w:val="28"/>
          <w:szCs w:val="28"/>
        </w:rPr>
        <w:t>可</w:t>
      </w:r>
      <w:r>
        <w:rPr>
          <w:rFonts w:ascii="仿宋_GB2312" w:hAnsi="黑体" w:eastAsia="仿宋_GB2312"/>
          <w:sz w:val="28"/>
          <w:szCs w:val="28"/>
        </w:rPr>
        <w:t>直接使用</w:t>
      </w:r>
      <w:r>
        <w:rPr>
          <w:rFonts w:hint="eastAsia" w:ascii="仿宋_GB2312" w:hAnsi="黑体" w:eastAsia="仿宋_GB2312"/>
          <w:sz w:val="28"/>
          <w:szCs w:val="28"/>
        </w:rPr>
        <w:t>工号/学号</w:t>
      </w:r>
      <w:r>
        <w:rPr>
          <w:rFonts w:ascii="仿宋_GB2312" w:hAnsi="黑体" w:eastAsia="仿宋_GB2312"/>
          <w:sz w:val="28"/>
          <w:szCs w:val="28"/>
        </w:rPr>
        <w:t>登陆</w:t>
      </w:r>
      <w:r>
        <w:rPr>
          <w:rFonts w:hint="eastAsia" w:ascii="仿宋_GB2312" w:hAnsi="黑体" w:eastAsia="仿宋_GB2312"/>
          <w:sz w:val="28"/>
          <w:szCs w:val="28"/>
        </w:rPr>
        <w:t>）。</w:t>
      </w:r>
    </w:p>
    <w:p>
      <w:pPr>
        <w:spacing w:line="360" w:lineRule="auto"/>
        <w:jc w:val="left"/>
        <w:rPr>
          <w:rFonts w:ascii="仿宋_GB2312" w:hAnsi="黑体" w:eastAsia="仿宋_GB2312"/>
          <w:b/>
          <w:bCs/>
          <w:sz w:val="28"/>
          <w:szCs w:val="28"/>
        </w:rPr>
      </w:pPr>
      <w:r>
        <w:rPr>
          <w:rFonts w:hint="eastAsia" w:ascii="仿宋_GB2312" w:hAnsi="黑体" w:eastAsia="仿宋_GB2312"/>
          <w:b/>
          <w:bCs/>
          <w:sz w:val="28"/>
          <w:szCs w:val="28"/>
          <w:lang w:val="en-US" w:eastAsia="zh-CN"/>
        </w:rPr>
        <w:t>三</w:t>
      </w:r>
      <w:r>
        <w:rPr>
          <w:rFonts w:hint="eastAsia" w:ascii="仿宋_GB2312" w:hAnsi="黑体" w:eastAsia="仿宋_GB2312"/>
          <w:b/>
          <w:bCs/>
          <w:sz w:val="28"/>
          <w:szCs w:val="28"/>
        </w:rPr>
        <w:t>、平台服务</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1、平台客服</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平台提供专属客服2</w:t>
      </w:r>
      <w:r>
        <w:rPr>
          <w:rFonts w:ascii="仿宋_GB2312" w:hAnsi="黑体" w:eastAsia="仿宋_GB2312"/>
          <w:sz w:val="28"/>
          <w:szCs w:val="28"/>
        </w:rPr>
        <w:t>4</w:t>
      </w:r>
      <w:r>
        <w:rPr>
          <w:rFonts w:hint="eastAsia" w:ascii="仿宋_GB2312" w:hAnsi="黑体" w:eastAsia="仿宋_GB2312"/>
          <w:sz w:val="28"/>
          <w:szCs w:val="28"/>
        </w:rPr>
        <w:t>小时服务，有任何问题都可以电话沟通，平台安排维护人员驻校服务，提供上门技术支持。</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技术服务电话：</w:t>
      </w:r>
      <w:bookmarkStart w:id="0" w:name="_Hlk40774105"/>
      <w:r>
        <w:rPr>
          <w:rFonts w:ascii="仿宋_GB2312" w:hAnsi="黑体" w:eastAsia="仿宋_GB2312"/>
          <w:sz w:val="28"/>
          <w:szCs w:val="28"/>
        </w:rPr>
        <w:t>18253208912</w:t>
      </w:r>
      <w:bookmarkEnd w:id="0"/>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技术服务微信：</w:t>
      </w:r>
      <w:r>
        <w:rPr>
          <w:rFonts w:ascii="仿宋_GB2312" w:hAnsi="黑体" w:eastAsia="仿宋_GB2312"/>
          <w:sz w:val="28"/>
          <w:szCs w:val="28"/>
        </w:rPr>
        <w:t>18253208912</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技术服务QQ：</w:t>
      </w:r>
      <w:r>
        <w:rPr>
          <w:rFonts w:ascii="仿宋_GB2312" w:hAnsi="黑体" w:eastAsia="仿宋_GB2312"/>
          <w:sz w:val="28"/>
          <w:szCs w:val="28"/>
        </w:rPr>
        <w:t>2756018803</w:t>
      </w:r>
    </w:p>
    <w:p>
      <w:pPr>
        <w:spacing w:line="360" w:lineRule="auto"/>
        <w:ind w:firstLine="560" w:firstLineChars="200"/>
        <w:jc w:val="left"/>
        <w:rPr>
          <w:rStyle w:val="4"/>
          <w:rFonts w:ascii="仿宋_GB2312" w:hAnsi="黑体" w:eastAsia="仿宋_GB2312"/>
          <w:sz w:val="28"/>
          <w:szCs w:val="28"/>
        </w:rPr>
      </w:pPr>
      <w:r>
        <w:rPr>
          <w:rFonts w:hint="eastAsia" w:ascii="仿宋_GB2312" w:hAnsi="黑体" w:eastAsia="仿宋_GB2312"/>
          <w:sz w:val="28"/>
          <w:szCs w:val="28"/>
        </w:rPr>
        <w:t>技术服务邮箱：</w:t>
      </w:r>
      <w:r>
        <w:fldChar w:fldCharType="begin"/>
      </w:r>
      <w:r>
        <w:instrText xml:space="preserve"> HYPERLINK "mailto:qingdaoshengkefuwu@163.com" </w:instrText>
      </w:r>
      <w:r>
        <w:fldChar w:fldCharType="separate"/>
      </w:r>
      <w:r>
        <w:rPr>
          <w:rStyle w:val="4"/>
          <w:rFonts w:ascii="仿宋_GB2312" w:hAnsi="黑体" w:eastAsia="仿宋_GB2312"/>
          <w:sz w:val="28"/>
          <w:szCs w:val="28"/>
        </w:rPr>
        <w:t>qingdaoshengke</w:t>
      </w:r>
      <w:r>
        <w:rPr>
          <w:rStyle w:val="4"/>
          <w:rFonts w:hint="eastAsia" w:ascii="仿宋_GB2312" w:hAnsi="黑体" w:eastAsia="仿宋_GB2312"/>
          <w:sz w:val="28"/>
          <w:szCs w:val="28"/>
        </w:rPr>
        <w:t>fuwu@</w:t>
      </w:r>
      <w:r>
        <w:rPr>
          <w:rStyle w:val="4"/>
          <w:rFonts w:ascii="仿宋_GB2312" w:hAnsi="黑体" w:eastAsia="仿宋_GB2312"/>
          <w:sz w:val="28"/>
          <w:szCs w:val="28"/>
        </w:rPr>
        <w:t>163.com</w:t>
      </w:r>
      <w:r>
        <w:rPr>
          <w:rStyle w:val="4"/>
          <w:rFonts w:ascii="仿宋_GB2312" w:hAnsi="黑体" w:eastAsia="仿宋_GB2312"/>
          <w:sz w:val="28"/>
          <w:szCs w:val="28"/>
        </w:rPr>
        <w:fldChar w:fldCharType="end"/>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2、平台使用手册</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针对不同身份的用户提供详尽的用户使用手册和用户使用视频讲解，用户可以直接与专属客服联系索取或者到百度网盘进行下载：百度网盘链接为：</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链接：</w:t>
      </w:r>
      <w:r>
        <w:rPr>
          <w:rFonts w:ascii="仿宋_GB2312" w:hAnsi="黑体" w:eastAsia="仿宋_GB2312"/>
          <w:sz w:val="28"/>
          <w:szCs w:val="28"/>
        </w:rPr>
        <w:t xml:space="preserve">https://pan.baidu.com/s/1XFdcQZqHUVIhYhnEC7ZeAg </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提取码：</w:t>
      </w:r>
      <w:r>
        <w:rPr>
          <w:rFonts w:ascii="仿宋_GB2312" w:hAnsi="黑体" w:eastAsia="仿宋_GB2312"/>
          <w:sz w:val="28"/>
          <w:szCs w:val="28"/>
        </w:rPr>
        <w:t>pau7</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复制链接后打开浏览器，输入提取码即可。</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3、平台使用培训</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根据学校统一组织，可以安排进行多场次多批次的直播培训。</w:t>
      </w:r>
    </w:p>
    <w:p>
      <w:pPr>
        <w:spacing w:line="360" w:lineRule="auto"/>
        <w:jc w:val="left"/>
        <w:rPr>
          <w:rFonts w:ascii="仿宋_GB2312" w:hAnsi="黑体" w:eastAsia="仿宋_GB2312"/>
          <w:b/>
          <w:bCs/>
          <w:sz w:val="28"/>
          <w:szCs w:val="28"/>
        </w:rPr>
      </w:pPr>
      <w:r>
        <w:rPr>
          <w:rFonts w:hint="eastAsia" w:ascii="仿宋_GB2312" w:hAnsi="黑体" w:eastAsia="仿宋_GB2312"/>
          <w:b/>
          <w:bCs/>
          <w:sz w:val="28"/>
          <w:szCs w:val="28"/>
          <w:lang w:val="en-US" w:eastAsia="zh-CN"/>
        </w:rPr>
        <w:t>四</w:t>
      </w:r>
      <w:r>
        <w:rPr>
          <w:rFonts w:hint="eastAsia" w:ascii="仿宋_GB2312" w:hAnsi="黑体" w:eastAsia="仿宋_GB2312"/>
          <w:b/>
          <w:bCs/>
          <w:sz w:val="28"/>
          <w:szCs w:val="28"/>
        </w:rPr>
        <w:t>、平台使用简要说明</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1、平台采购审批流程</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课题组成员提出采购需求→课题组负责人审批→学院管理员审批（多级审批）→学校管理员审批（多部门审批）→供货商发货（张贴二维码）→采购员验货→进入库存管理。</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2、集中采购功能简要介绍</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下单</w:t>
      </w:r>
      <w:r>
        <w:rPr>
          <w:rFonts w:hint="eastAsia" w:ascii="仿宋_GB2312" w:hAnsi="黑体" w:eastAsia="仿宋_GB2312"/>
          <w:sz w:val="28"/>
          <w:szCs w:val="28"/>
        </w:rPr>
        <w:t>：我要申购→输入要申购的商品点击搜索→将商品加入购物车→在购物车结算/直接进入商品详情页面点击直接购买</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常用商品</w:t>
      </w:r>
      <w:r>
        <w:rPr>
          <w:rFonts w:hint="eastAsia" w:ascii="仿宋_GB2312" w:hAnsi="黑体" w:eastAsia="仿宋_GB2312"/>
          <w:sz w:val="28"/>
          <w:szCs w:val="28"/>
        </w:rPr>
        <w:t>：搜索商品→点击进入商品详情页面→点击收藏</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常用公司</w:t>
      </w:r>
      <w:r>
        <w:rPr>
          <w:rFonts w:hint="eastAsia" w:ascii="仿宋_GB2312" w:hAnsi="黑体" w:eastAsia="仿宋_GB2312"/>
          <w:sz w:val="28"/>
          <w:szCs w:val="28"/>
        </w:rPr>
        <w:t>：搜索供货商公司→点击进入供货商页面→点击收藏</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验货</w:t>
      </w:r>
      <w:r>
        <w:rPr>
          <w:rFonts w:hint="eastAsia" w:ascii="仿宋_GB2312" w:hAnsi="黑体" w:eastAsia="仿宋_GB2312"/>
          <w:sz w:val="28"/>
          <w:szCs w:val="28"/>
        </w:rPr>
        <w:t>：申购明细→验货订单→待验货订单→点击通过/退货</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延期验货</w:t>
      </w:r>
      <w:r>
        <w:rPr>
          <w:rFonts w:hint="eastAsia" w:ascii="仿宋_GB2312" w:hAnsi="黑体" w:eastAsia="仿宋_GB2312"/>
          <w:sz w:val="28"/>
          <w:szCs w:val="28"/>
        </w:rPr>
        <w:t>：申购明细→验货订单→待验货订单→点击明细→点击延期验货</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部分到货验货</w:t>
      </w:r>
      <w:r>
        <w:rPr>
          <w:rFonts w:hint="eastAsia" w:ascii="仿宋_GB2312" w:hAnsi="黑体" w:eastAsia="仿宋_GB2312"/>
          <w:sz w:val="28"/>
          <w:szCs w:val="28"/>
        </w:rPr>
        <w:t>：申购明细→验货订单→待验货订单→点击明细→分批次发货记录中点击发货</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订单中部分未到货退货</w:t>
      </w:r>
      <w:r>
        <w:rPr>
          <w:rFonts w:hint="eastAsia" w:ascii="仿宋_GB2312" w:hAnsi="黑体" w:eastAsia="仿宋_GB2312"/>
          <w:sz w:val="28"/>
          <w:szCs w:val="28"/>
        </w:rPr>
        <w:t>：申购明细→验货订单→部分到货订单→点击明细→点击未到货退货</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评价1</w:t>
      </w:r>
      <w:r>
        <w:rPr>
          <w:rFonts w:hint="eastAsia" w:ascii="仿宋_GB2312" w:hAnsi="黑体" w:eastAsia="仿宋_GB2312"/>
          <w:sz w:val="28"/>
          <w:szCs w:val="28"/>
        </w:rPr>
        <w:t>：申购明细→申购订单→选择订单完成的订单/完成报销的订单→点击明细→点击评价</w:t>
      </w:r>
    </w:p>
    <w:p>
      <w:pPr>
        <w:spacing w:line="360" w:lineRule="auto"/>
        <w:ind w:firstLine="562" w:firstLineChars="200"/>
        <w:jc w:val="left"/>
        <w:rPr>
          <w:rFonts w:ascii="仿宋_GB2312" w:hAnsi="黑体" w:eastAsia="仿宋_GB2312"/>
          <w:sz w:val="28"/>
          <w:szCs w:val="28"/>
        </w:rPr>
      </w:pPr>
      <w:r>
        <w:rPr>
          <w:rFonts w:hint="eastAsia" w:ascii="仿宋_GB2312" w:hAnsi="黑体" w:eastAsia="仿宋_GB2312"/>
          <w:b/>
          <w:bCs/>
          <w:sz w:val="28"/>
          <w:szCs w:val="28"/>
        </w:rPr>
        <w:t>评价2：</w:t>
      </w:r>
      <w:r>
        <w:rPr>
          <w:rFonts w:hint="eastAsia" w:ascii="仿宋_GB2312" w:hAnsi="黑体" w:eastAsia="仿宋_GB2312"/>
          <w:sz w:val="28"/>
          <w:szCs w:val="28"/>
        </w:rPr>
        <w:t>申购明细→报销订单→待报销订单→点击评价</w:t>
      </w:r>
    </w:p>
    <w:p>
      <w:pPr>
        <w:spacing w:line="360" w:lineRule="auto"/>
        <w:jc w:val="left"/>
        <w:rPr>
          <w:rFonts w:ascii="仿宋_GB2312" w:hAnsi="黑体" w:eastAsia="仿宋_GB2312"/>
          <w:b/>
          <w:bCs/>
          <w:sz w:val="28"/>
          <w:szCs w:val="28"/>
        </w:rPr>
      </w:pPr>
      <w:r>
        <w:rPr>
          <w:rFonts w:hint="eastAsia" w:ascii="仿宋_GB2312" w:hAnsi="黑体" w:eastAsia="仿宋_GB2312"/>
          <w:b/>
          <w:bCs/>
          <w:sz w:val="28"/>
          <w:szCs w:val="28"/>
          <w:lang w:val="en-US" w:eastAsia="zh-CN"/>
        </w:rPr>
        <w:t>五</w:t>
      </w:r>
      <w:r>
        <w:rPr>
          <w:rFonts w:hint="eastAsia" w:ascii="仿宋_GB2312" w:hAnsi="黑体" w:eastAsia="仿宋_GB2312"/>
          <w:b/>
          <w:bCs/>
          <w:sz w:val="28"/>
          <w:szCs w:val="28"/>
        </w:rPr>
        <w:t>、平台采购化学品范围</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1、易制毒化学品</w:t>
      </w:r>
    </w:p>
    <w:p>
      <w:pPr>
        <w:spacing w:line="360" w:lineRule="auto"/>
        <w:ind w:firstLine="560" w:firstLineChars="200"/>
        <w:jc w:val="left"/>
        <w:rPr>
          <w:rFonts w:ascii="仿宋_GB2312" w:hAnsi="黑体" w:eastAsia="仿宋_GB2312"/>
          <w:sz w:val="28"/>
          <w:szCs w:val="28"/>
        </w:rPr>
      </w:pPr>
      <w:r>
        <w:rPr>
          <w:rFonts w:hint="eastAsia" w:ascii="仿宋_GB2312" w:hAnsi="黑体" w:eastAsia="仿宋_GB2312"/>
          <w:sz w:val="28"/>
          <w:szCs w:val="28"/>
        </w:rPr>
        <w:t>2、易制爆化学品</w:t>
      </w:r>
    </w:p>
    <w:p>
      <w:pPr>
        <w:spacing w:line="360" w:lineRule="auto"/>
        <w:ind w:firstLine="560" w:firstLineChars="200"/>
        <w:jc w:val="left"/>
      </w:pPr>
      <w:r>
        <w:rPr>
          <w:rFonts w:hint="eastAsia" w:ascii="仿宋_GB2312" w:hAnsi="黑体" w:eastAsia="仿宋_GB2312"/>
          <w:sz w:val="28"/>
          <w:szCs w:val="28"/>
        </w:rPr>
        <w:t>3、</w:t>
      </w:r>
      <w:r>
        <w:rPr>
          <w:rFonts w:ascii="仿宋_GB2312" w:hAnsi="黑体" w:eastAsia="仿宋_GB2312"/>
          <w:sz w:val="28"/>
          <w:szCs w:val="28"/>
        </w:rPr>
        <w:t>气体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B3197"/>
    <w:rsid w:val="384B3197"/>
    <w:rsid w:val="7BCF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2020-06-28T07:09:00Z</dcterms:created>
  <dc:creator>李 彬</dc:creator>
  <cp:lastModifiedBy>李 彬</cp:lastModifiedBy>
  <dcterms:modified xsi:type="dcterms:W3CDTF">2020-06-28T07:25:17Z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